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0D03" w14:textId="77777777" w:rsidR="00A73F83" w:rsidRPr="00782A89" w:rsidRDefault="0031759C">
      <w:pPr>
        <w:rPr>
          <w:b/>
          <w:bCs/>
          <w:color w:val="000000" w:themeColor="text1"/>
        </w:rPr>
      </w:pPr>
      <w:r w:rsidRPr="00782A89">
        <w:rPr>
          <w:b/>
          <w:bCs/>
          <w:color w:val="000000" w:themeColor="text1"/>
        </w:rPr>
        <w:t>Pyhäjoen kunta</w:t>
      </w:r>
    </w:p>
    <w:p w14:paraId="36C50E66" w14:textId="6340A815" w:rsidR="0031759C" w:rsidRPr="00782A89" w:rsidRDefault="0031759C">
      <w:pPr>
        <w:rPr>
          <w:b/>
          <w:bCs/>
          <w:color w:val="000000" w:themeColor="text1"/>
        </w:rPr>
      </w:pPr>
      <w:r w:rsidRPr="00782A89">
        <w:rPr>
          <w:b/>
          <w:bCs/>
          <w:color w:val="000000" w:themeColor="text1"/>
        </w:rPr>
        <w:t>VARHAISKASVATUKSEN ASIAKASMAKSU</w:t>
      </w:r>
      <w:r w:rsidR="00782A89" w:rsidRPr="00782A89">
        <w:rPr>
          <w:b/>
          <w:bCs/>
          <w:color w:val="000000" w:themeColor="text1"/>
        </w:rPr>
        <w:t>T</w:t>
      </w:r>
      <w:r w:rsidRPr="00782A89">
        <w:rPr>
          <w:b/>
          <w:bCs/>
          <w:color w:val="000000" w:themeColor="text1"/>
        </w:rPr>
        <w:t xml:space="preserve"> 1.8.202</w:t>
      </w:r>
      <w:r w:rsidR="00EA42B7">
        <w:rPr>
          <w:b/>
          <w:bCs/>
          <w:color w:val="000000" w:themeColor="text1"/>
        </w:rPr>
        <w:t>2</w:t>
      </w:r>
      <w:r w:rsidR="00E23596" w:rsidRPr="00782A89">
        <w:rPr>
          <w:b/>
          <w:bCs/>
          <w:color w:val="000000" w:themeColor="text1"/>
        </w:rPr>
        <w:t xml:space="preserve"> ALKAEN</w:t>
      </w:r>
    </w:p>
    <w:p w14:paraId="40C61E85" w14:textId="77777777" w:rsidR="0031759C" w:rsidRPr="00782A89" w:rsidRDefault="0031759C">
      <w:pPr>
        <w:rPr>
          <w:b/>
          <w:bCs/>
          <w:color w:val="000000" w:themeColor="text1"/>
        </w:rPr>
      </w:pPr>
    </w:p>
    <w:p w14:paraId="0B8DA864" w14:textId="51945844" w:rsidR="0031759C" w:rsidRPr="00782A89" w:rsidRDefault="0031759C">
      <w:pPr>
        <w:rPr>
          <w:color w:val="000000" w:themeColor="text1"/>
        </w:rPr>
      </w:pPr>
      <w:r w:rsidRPr="00782A89">
        <w:rPr>
          <w:color w:val="000000" w:themeColor="text1"/>
        </w:rPr>
        <w:t>Varhaiskasvatuksessa on käytössä 1.8.202</w:t>
      </w:r>
      <w:r w:rsidR="00EA42B7">
        <w:rPr>
          <w:color w:val="000000" w:themeColor="text1"/>
        </w:rPr>
        <w:t>2</w:t>
      </w:r>
      <w:r w:rsidRPr="00782A89">
        <w:rPr>
          <w:color w:val="000000" w:themeColor="text1"/>
        </w:rPr>
        <w:t xml:space="preserve"> alkaen tuntiperusteinen laskutus oheisen taulukon mukaisesti.</w:t>
      </w:r>
    </w:p>
    <w:tbl>
      <w:tblPr>
        <w:tblStyle w:val="TaulukkoRuudukko"/>
        <w:tblW w:w="0" w:type="auto"/>
        <w:tblLook w:val="04A0" w:firstRow="1" w:lastRow="0" w:firstColumn="1" w:lastColumn="0" w:noHBand="0" w:noVBand="1"/>
      </w:tblPr>
      <w:tblGrid>
        <w:gridCol w:w="4106"/>
        <w:gridCol w:w="5522"/>
      </w:tblGrid>
      <w:tr w:rsidR="00782A89" w:rsidRPr="00782A89" w14:paraId="2AB0CDF1" w14:textId="77777777" w:rsidTr="008B0E68">
        <w:tc>
          <w:tcPr>
            <w:tcW w:w="4106" w:type="dxa"/>
            <w:tcBorders>
              <w:bottom w:val="single" w:sz="12" w:space="0" w:color="auto"/>
            </w:tcBorders>
          </w:tcPr>
          <w:p w14:paraId="5481B029" w14:textId="77777777" w:rsidR="0031759C" w:rsidRPr="00782A89" w:rsidRDefault="0031759C" w:rsidP="0031759C">
            <w:pPr>
              <w:jc w:val="center"/>
              <w:rPr>
                <w:color w:val="000000" w:themeColor="text1"/>
              </w:rPr>
            </w:pPr>
            <w:r w:rsidRPr="00782A89">
              <w:rPr>
                <w:color w:val="000000" w:themeColor="text1"/>
              </w:rPr>
              <w:t xml:space="preserve">Hoidontarve eli varattu hoitoaika </w:t>
            </w:r>
          </w:p>
          <w:p w14:paraId="0E4FF8B4" w14:textId="77777777" w:rsidR="0031759C" w:rsidRPr="00782A89" w:rsidRDefault="0031759C" w:rsidP="0031759C">
            <w:pPr>
              <w:jc w:val="center"/>
              <w:rPr>
                <w:color w:val="000000" w:themeColor="text1"/>
              </w:rPr>
            </w:pPr>
            <w:r w:rsidRPr="00782A89">
              <w:rPr>
                <w:color w:val="000000" w:themeColor="text1"/>
              </w:rPr>
              <w:t>kuukaudessa</w:t>
            </w:r>
          </w:p>
        </w:tc>
        <w:tc>
          <w:tcPr>
            <w:tcW w:w="5522" w:type="dxa"/>
            <w:tcBorders>
              <w:bottom w:val="single" w:sz="12" w:space="0" w:color="auto"/>
            </w:tcBorders>
          </w:tcPr>
          <w:p w14:paraId="2D04C2C5" w14:textId="77777777" w:rsidR="0031759C" w:rsidRPr="00782A89" w:rsidRDefault="0031759C" w:rsidP="0031759C">
            <w:pPr>
              <w:jc w:val="center"/>
              <w:rPr>
                <w:color w:val="000000" w:themeColor="text1"/>
              </w:rPr>
            </w:pPr>
            <w:r w:rsidRPr="00782A89">
              <w:rPr>
                <w:color w:val="000000" w:themeColor="text1"/>
              </w:rPr>
              <w:t>Maksuprosentti kokoaikaisen varhaiskasvatuksen maksuista</w:t>
            </w:r>
          </w:p>
        </w:tc>
      </w:tr>
      <w:tr w:rsidR="00782A89" w:rsidRPr="0031759C" w14:paraId="6F22770D" w14:textId="77777777" w:rsidTr="008B0E68">
        <w:tc>
          <w:tcPr>
            <w:tcW w:w="4106" w:type="dxa"/>
            <w:tcBorders>
              <w:top w:val="single" w:sz="12" w:space="0" w:color="auto"/>
            </w:tcBorders>
          </w:tcPr>
          <w:p w14:paraId="2F8CDB80" w14:textId="623A5BD7" w:rsidR="00782A89" w:rsidRDefault="00782A89" w:rsidP="00782A89">
            <w:pPr>
              <w:ind w:left="45"/>
              <w:jc w:val="center"/>
            </w:pPr>
            <w:proofErr w:type="gramStart"/>
            <w:r>
              <w:t>1 – 30</w:t>
            </w:r>
            <w:proofErr w:type="gramEnd"/>
            <w:r>
              <w:t xml:space="preserve"> h/kk</w:t>
            </w:r>
          </w:p>
        </w:tc>
        <w:tc>
          <w:tcPr>
            <w:tcW w:w="5522" w:type="dxa"/>
            <w:tcBorders>
              <w:top w:val="single" w:sz="12" w:space="0" w:color="auto"/>
            </w:tcBorders>
          </w:tcPr>
          <w:p w14:paraId="49CD96E4" w14:textId="7352B9DF" w:rsidR="00782A89" w:rsidRDefault="00782A89" w:rsidP="0031759C">
            <w:pPr>
              <w:jc w:val="center"/>
            </w:pPr>
            <w:r>
              <w:t>20 %</w:t>
            </w:r>
          </w:p>
        </w:tc>
      </w:tr>
      <w:tr w:rsidR="0031759C" w:rsidRPr="0031759C" w14:paraId="6D96CB9B" w14:textId="77777777" w:rsidTr="008B0E68">
        <w:tc>
          <w:tcPr>
            <w:tcW w:w="4106" w:type="dxa"/>
            <w:tcBorders>
              <w:top w:val="single" w:sz="12" w:space="0" w:color="auto"/>
            </w:tcBorders>
          </w:tcPr>
          <w:p w14:paraId="5BD9703D" w14:textId="2FAEB162" w:rsidR="0031759C" w:rsidRPr="0031759C" w:rsidRDefault="00782A89" w:rsidP="0031759C">
            <w:pPr>
              <w:jc w:val="center"/>
            </w:pPr>
            <w:proofErr w:type="gramStart"/>
            <w:r>
              <w:t>31</w:t>
            </w:r>
            <w:r w:rsidR="0031759C">
              <w:t xml:space="preserve"> – 60</w:t>
            </w:r>
            <w:proofErr w:type="gramEnd"/>
            <w:r w:rsidR="0031759C">
              <w:t xml:space="preserve"> h/kk</w:t>
            </w:r>
          </w:p>
        </w:tc>
        <w:tc>
          <w:tcPr>
            <w:tcW w:w="5522" w:type="dxa"/>
            <w:tcBorders>
              <w:top w:val="single" w:sz="12" w:space="0" w:color="auto"/>
            </w:tcBorders>
          </w:tcPr>
          <w:p w14:paraId="3FB3BE42" w14:textId="77777777" w:rsidR="0031759C" w:rsidRPr="0031759C" w:rsidRDefault="0031759C" w:rsidP="0031759C">
            <w:pPr>
              <w:jc w:val="center"/>
            </w:pPr>
            <w:r>
              <w:t>40 %</w:t>
            </w:r>
          </w:p>
        </w:tc>
      </w:tr>
      <w:tr w:rsidR="0031759C" w:rsidRPr="0031759C" w14:paraId="4B63AB83" w14:textId="77777777" w:rsidTr="0031759C">
        <w:tc>
          <w:tcPr>
            <w:tcW w:w="4106" w:type="dxa"/>
          </w:tcPr>
          <w:p w14:paraId="4D0DED26" w14:textId="77777777" w:rsidR="0031759C" w:rsidRPr="0031759C" w:rsidRDefault="0031759C" w:rsidP="0031759C">
            <w:pPr>
              <w:jc w:val="center"/>
            </w:pPr>
            <w:r>
              <w:t>61 – 105 h/kk</w:t>
            </w:r>
          </w:p>
        </w:tc>
        <w:tc>
          <w:tcPr>
            <w:tcW w:w="5522" w:type="dxa"/>
          </w:tcPr>
          <w:p w14:paraId="2A4F9DC1" w14:textId="77777777" w:rsidR="0031759C" w:rsidRPr="0031759C" w:rsidRDefault="0031759C" w:rsidP="0031759C">
            <w:pPr>
              <w:jc w:val="center"/>
            </w:pPr>
            <w:r>
              <w:t>60 %</w:t>
            </w:r>
          </w:p>
        </w:tc>
      </w:tr>
      <w:tr w:rsidR="0031759C" w:rsidRPr="0031759C" w14:paraId="33EAB675" w14:textId="77777777" w:rsidTr="0031759C">
        <w:tc>
          <w:tcPr>
            <w:tcW w:w="4106" w:type="dxa"/>
          </w:tcPr>
          <w:p w14:paraId="49B7957C" w14:textId="77777777" w:rsidR="0031759C" w:rsidRPr="0031759C" w:rsidRDefault="0031759C" w:rsidP="0031759C">
            <w:pPr>
              <w:jc w:val="center"/>
            </w:pPr>
            <w:r>
              <w:t>106 – 125 h/kk</w:t>
            </w:r>
          </w:p>
        </w:tc>
        <w:tc>
          <w:tcPr>
            <w:tcW w:w="5522" w:type="dxa"/>
          </w:tcPr>
          <w:p w14:paraId="22EE882C" w14:textId="77777777" w:rsidR="0031759C" w:rsidRPr="0031759C" w:rsidRDefault="0031759C" w:rsidP="0031759C">
            <w:pPr>
              <w:jc w:val="center"/>
            </w:pPr>
            <w:r>
              <w:t>75 %</w:t>
            </w:r>
          </w:p>
        </w:tc>
      </w:tr>
      <w:tr w:rsidR="0031759C" w:rsidRPr="0031759C" w14:paraId="2C257504" w14:textId="77777777" w:rsidTr="0031759C">
        <w:tc>
          <w:tcPr>
            <w:tcW w:w="4106" w:type="dxa"/>
          </w:tcPr>
          <w:p w14:paraId="4E66825E" w14:textId="77777777" w:rsidR="0031759C" w:rsidRPr="0031759C" w:rsidRDefault="0031759C" w:rsidP="0031759C">
            <w:pPr>
              <w:jc w:val="center"/>
            </w:pPr>
            <w:r>
              <w:t>126 – 149 h/kk</w:t>
            </w:r>
          </w:p>
        </w:tc>
        <w:tc>
          <w:tcPr>
            <w:tcW w:w="5522" w:type="dxa"/>
          </w:tcPr>
          <w:p w14:paraId="4DA41E26" w14:textId="77777777" w:rsidR="0031759C" w:rsidRPr="0031759C" w:rsidRDefault="008B0E68" w:rsidP="0031759C">
            <w:pPr>
              <w:jc w:val="center"/>
            </w:pPr>
            <w:r>
              <w:t>90 %</w:t>
            </w:r>
          </w:p>
        </w:tc>
      </w:tr>
      <w:tr w:rsidR="0031759C" w:rsidRPr="0031759C" w14:paraId="6F1A74F2" w14:textId="77777777" w:rsidTr="0031759C">
        <w:tc>
          <w:tcPr>
            <w:tcW w:w="4106" w:type="dxa"/>
          </w:tcPr>
          <w:p w14:paraId="3406F2CB" w14:textId="77777777" w:rsidR="0031759C" w:rsidRPr="0031759C" w:rsidRDefault="008B0E68" w:rsidP="0031759C">
            <w:pPr>
              <w:jc w:val="center"/>
            </w:pPr>
            <w:r>
              <w:t xml:space="preserve">150 h/kk </w:t>
            </w:r>
            <w:r>
              <w:sym w:font="Wingdings" w:char="F0E0"/>
            </w:r>
          </w:p>
        </w:tc>
        <w:tc>
          <w:tcPr>
            <w:tcW w:w="5522" w:type="dxa"/>
          </w:tcPr>
          <w:p w14:paraId="099D3582" w14:textId="77777777" w:rsidR="0031759C" w:rsidRPr="0031759C" w:rsidRDefault="008B0E68" w:rsidP="0031759C">
            <w:pPr>
              <w:jc w:val="center"/>
            </w:pPr>
            <w:r>
              <w:t>100%</w:t>
            </w:r>
          </w:p>
        </w:tc>
      </w:tr>
    </w:tbl>
    <w:p w14:paraId="65055502" w14:textId="77777777" w:rsidR="0031759C" w:rsidRDefault="0031759C"/>
    <w:p w14:paraId="189B198D" w14:textId="77777777" w:rsidR="008B0E68" w:rsidRDefault="008B0E68">
      <w:r w:rsidRPr="008B0E68">
        <w:t>Perusopetuslain mukainen esikoulu on maksutonta, eikä näin ollen vaikuta hoitotuntien määrään. Näiden yhteydessä järjestettävä aamu- ja iltapäivähoito ovat maksullisia. Esikoululaisten osalta varhaiskasvatuksen maksu peritään taulukon mukaan. Kunnan tekemän erillispäätöksen mukaan myös ykkösluokkalaiset ovat samojen maksuperusteiden piirissä, mikäli tarve on sekä aamu- että iltapäivähoidolle.</w:t>
      </w:r>
    </w:p>
    <w:p w14:paraId="112FF850" w14:textId="77777777" w:rsidR="008B0E68" w:rsidRDefault="008B0E68"/>
    <w:p w14:paraId="7855D07A" w14:textId="77777777" w:rsidR="008B0E68" w:rsidRDefault="008B0E68">
      <w:pPr>
        <w:rPr>
          <w:b/>
          <w:bCs/>
        </w:rPr>
      </w:pPr>
      <w:r w:rsidRPr="008B0E68">
        <w:rPr>
          <w:b/>
          <w:bCs/>
        </w:rPr>
        <w:t>HOITOSOPIMUS</w:t>
      </w:r>
    </w:p>
    <w:p w14:paraId="0F2BDA19" w14:textId="77777777" w:rsidR="008B0E68" w:rsidRDefault="008B0E68">
      <w:r w:rsidRPr="008B0E68">
        <w:t>Huoltajat tekevät etukäteen hoitosopimuksen lapsen varhaiskasvatuksen kuukausittaisista hoitoajoista, joihin laskutus perustuu. Huoltajat valitsevat millainen tuntimäärä kuukaudessa vastaa heidän perheensä tarpeita. Mikäli hoitotuntien määrä ei ole tiedossa, tunnit arvioidaan. Jos kuukausittaisissa hoitomäärissä on vaihtelua, pitää hoitotuntien määrä valita suurimman tuntimäärä perusteella. Mikäli käytetyt tunnit jonain kalenterikuukautena ylittävät varatut tunnit, korotetaan maksu vastaamaan ko. kalenterikuukaudessa toteutuneiden varhaiskasvatustuntien hintaa.</w:t>
      </w:r>
    </w:p>
    <w:p w14:paraId="205ABBA3" w14:textId="77777777" w:rsidR="008B0E68" w:rsidRDefault="008B0E68">
      <w:r w:rsidRPr="008B0E68">
        <w:t>Sopimus tehdään toistaiseksi. Suosituksena on, että sopimus tehdään vähintään kolmeksi kuukaudeksi kerralla. Jos huoltajalla on tarvetta muuttaa maksuluokkaa, tulee tehdä uusi sopimus. Ilmoitus asiasta tehdään päivähoitotoimistoon muutosta edeltävän kuukauden loppuun mennessä.</w:t>
      </w:r>
    </w:p>
    <w:p w14:paraId="53DD2BCA" w14:textId="77777777" w:rsidR="008B0E68" w:rsidRDefault="008B0E68">
      <w:r w:rsidRPr="008B0E68">
        <w:t>Jos lapsen hoitoajoista ei laadita hoitosopimusta lapsen hoidon alkamiskuukauden aikana, hoito laskutetaan korkeimman maksuprosentin mukaan.</w:t>
      </w:r>
    </w:p>
    <w:p w14:paraId="66E5BA79" w14:textId="77777777" w:rsidR="008B0E68" w:rsidRDefault="008B0E68"/>
    <w:p w14:paraId="162FA8D9" w14:textId="77777777" w:rsidR="008B0E68" w:rsidRDefault="008B0E68">
      <w:pPr>
        <w:rPr>
          <w:b/>
          <w:bCs/>
        </w:rPr>
      </w:pPr>
      <w:r w:rsidRPr="008B0E68">
        <w:rPr>
          <w:b/>
          <w:bCs/>
        </w:rPr>
        <w:t>MAKSUN MÄÄRÄ</w:t>
      </w:r>
    </w:p>
    <w:p w14:paraId="3D6D4E18" w14:textId="77777777" w:rsidR="008B0E68" w:rsidRDefault="008B0E68">
      <w:r w:rsidRPr="008B0E68">
        <w:t>Asiakasmaksu määräytyy perheen koon, bruttotulojen sekä varhaiskasvatukseen varatun ajan perusteella.</w:t>
      </w:r>
    </w:p>
    <w:p w14:paraId="2559D094" w14:textId="0EF779FC" w:rsidR="008B0E68" w:rsidRDefault="008B0E68">
      <w:r w:rsidRPr="008B0E68">
        <w:t xml:space="preserve">Korkein lapsikohtainen kuukausimaksu </w:t>
      </w:r>
      <w:r w:rsidRPr="00782A89">
        <w:rPr>
          <w:color w:val="000000" w:themeColor="text1"/>
        </w:rPr>
        <w:t>on 2</w:t>
      </w:r>
      <w:r w:rsidR="00EA42B7">
        <w:rPr>
          <w:color w:val="000000" w:themeColor="text1"/>
        </w:rPr>
        <w:t>95</w:t>
      </w:r>
      <w:r w:rsidRPr="00782A89">
        <w:rPr>
          <w:color w:val="000000" w:themeColor="text1"/>
        </w:rPr>
        <w:t xml:space="preserve"> </w:t>
      </w:r>
      <w:r w:rsidR="00EA42B7">
        <w:rPr>
          <w:color w:val="000000" w:themeColor="text1"/>
        </w:rPr>
        <w:t>euroa ja alin perittävä maksu on 28 euroa</w:t>
      </w:r>
      <w:r w:rsidRPr="00782A89">
        <w:rPr>
          <w:color w:val="000000" w:themeColor="text1"/>
        </w:rPr>
        <w:t xml:space="preserve">. Toisesta </w:t>
      </w:r>
      <w:r w:rsidRPr="008B0E68">
        <w:t>lapsesta peritt</w:t>
      </w:r>
      <w:r>
        <w:t>ävä</w:t>
      </w:r>
      <w:r w:rsidRPr="008B0E68">
        <w:t xml:space="preserve"> maksu on enint</w:t>
      </w:r>
      <w:r>
        <w:t>ää</w:t>
      </w:r>
      <w:r w:rsidRPr="008B0E68">
        <w:t xml:space="preserve">n </w:t>
      </w:r>
      <w:r w:rsidR="002C1804">
        <w:t>40</w:t>
      </w:r>
      <w:r w:rsidRPr="002C1804">
        <w:rPr>
          <w:b/>
          <w:bCs/>
          <w:color w:val="FF0000"/>
        </w:rPr>
        <w:t xml:space="preserve"> </w:t>
      </w:r>
      <w:r w:rsidRPr="008B0E68">
        <w:t>prosenttia ensimm</w:t>
      </w:r>
      <w:r>
        <w:t>ä</w:t>
      </w:r>
      <w:r w:rsidRPr="008B0E68">
        <w:t xml:space="preserve">isen lapsen maksusta. </w:t>
      </w:r>
      <w:r>
        <w:t>S</w:t>
      </w:r>
      <w:r w:rsidRPr="008B0E68">
        <w:t>euraa</w:t>
      </w:r>
      <w:r>
        <w:t>v</w:t>
      </w:r>
      <w:r w:rsidRPr="008B0E68">
        <w:t>ien lasten maksu on e</w:t>
      </w:r>
      <w:r>
        <w:t>d</w:t>
      </w:r>
      <w:r w:rsidRPr="008B0E68">
        <w:t>elleen 20 prosenttia nuorimman lapsen maksusta.</w:t>
      </w:r>
    </w:p>
    <w:p w14:paraId="7783DA73" w14:textId="470F8366" w:rsidR="008B0E68" w:rsidRDefault="008B0E68"/>
    <w:p w14:paraId="3930CB81" w14:textId="77777777" w:rsidR="00EA42B7" w:rsidRDefault="00EA42B7"/>
    <w:p w14:paraId="18606418" w14:textId="77777777" w:rsidR="008B0E68" w:rsidRDefault="008B0E68"/>
    <w:tbl>
      <w:tblPr>
        <w:tblStyle w:val="TaulukkoRuudukko"/>
        <w:tblW w:w="0" w:type="auto"/>
        <w:tblLook w:val="04A0" w:firstRow="1" w:lastRow="0" w:firstColumn="1" w:lastColumn="0" w:noHBand="0" w:noVBand="1"/>
      </w:tblPr>
      <w:tblGrid>
        <w:gridCol w:w="1271"/>
        <w:gridCol w:w="3543"/>
        <w:gridCol w:w="2269"/>
        <w:gridCol w:w="2545"/>
      </w:tblGrid>
      <w:tr w:rsidR="002C1804" w:rsidRPr="002C1804" w14:paraId="2355ED20" w14:textId="77777777" w:rsidTr="002D2ED7">
        <w:tc>
          <w:tcPr>
            <w:tcW w:w="1271" w:type="dxa"/>
            <w:tcBorders>
              <w:bottom w:val="single" w:sz="12" w:space="0" w:color="auto"/>
            </w:tcBorders>
          </w:tcPr>
          <w:p w14:paraId="44ECA48A" w14:textId="77777777" w:rsidR="008B0E68" w:rsidRPr="002C1804" w:rsidRDefault="008B0E68">
            <w:pPr>
              <w:rPr>
                <w:color w:val="000000" w:themeColor="text1"/>
              </w:rPr>
            </w:pPr>
            <w:r w:rsidRPr="002C1804">
              <w:rPr>
                <w:color w:val="000000" w:themeColor="text1"/>
              </w:rPr>
              <w:lastRenderedPageBreak/>
              <w:t>Pe</w:t>
            </w:r>
            <w:r w:rsidR="002D2ED7" w:rsidRPr="002C1804">
              <w:rPr>
                <w:color w:val="000000" w:themeColor="text1"/>
              </w:rPr>
              <w:t>rheen</w:t>
            </w:r>
          </w:p>
          <w:p w14:paraId="45712856" w14:textId="77777777" w:rsidR="002D2ED7" w:rsidRPr="002C1804" w:rsidRDefault="002D2ED7">
            <w:pPr>
              <w:rPr>
                <w:color w:val="000000" w:themeColor="text1"/>
              </w:rPr>
            </w:pPr>
            <w:r w:rsidRPr="002C1804">
              <w:rPr>
                <w:color w:val="000000" w:themeColor="text1"/>
              </w:rPr>
              <w:t>koko</w:t>
            </w:r>
          </w:p>
        </w:tc>
        <w:tc>
          <w:tcPr>
            <w:tcW w:w="3543" w:type="dxa"/>
            <w:tcBorders>
              <w:bottom w:val="single" w:sz="12" w:space="0" w:color="auto"/>
            </w:tcBorders>
          </w:tcPr>
          <w:p w14:paraId="21253BCB" w14:textId="77777777" w:rsidR="002D2ED7" w:rsidRPr="002C1804" w:rsidRDefault="002D2ED7">
            <w:pPr>
              <w:rPr>
                <w:color w:val="000000" w:themeColor="text1"/>
              </w:rPr>
            </w:pPr>
            <w:r w:rsidRPr="002C1804">
              <w:rPr>
                <w:color w:val="000000" w:themeColor="text1"/>
              </w:rPr>
              <w:t xml:space="preserve">Tuloraja, brutto €/kk </w:t>
            </w:r>
          </w:p>
          <w:p w14:paraId="2C739857" w14:textId="05C23A46" w:rsidR="008B0E68" w:rsidRPr="002C1804" w:rsidRDefault="002D2ED7">
            <w:pPr>
              <w:rPr>
                <w:color w:val="000000" w:themeColor="text1"/>
              </w:rPr>
            </w:pPr>
            <w:r w:rsidRPr="002C1804">
              <w:rPr>
                <w:color w:val="000000" w:themeColor="text1"/>
              </w:rPr>
              <w:t>1.8.202</w:t>
            </w:r>
            <w:r w:rsidR="00EA42B7">
              <w:rPr>
                <w:color w:val="000000" w:themeColor="text1"/>
              </w:rPr>
              <w:t>2</w:t>
            </w:r>
          </w:p>
        </w:tc>
        <w:tc>
          <w:tcPr>
            <w:tcW w:w="2269" w:type="dxa"/>
            <w:tcBorders>
              <w:bottom w:val="single" w:sz="12" w:space="0" w:color="auto"/>
            </w:tcBorders>
          </w:tcPr>
          <w:p w14:paraId="69A800EB" w14:textId="77777777" w:rsidR="008B0E68" w:rsidRPr="002C1804" w:rsidRDefault="002D2ED7">
            <w:pPr>
              <w:rPr>
                <w:color w:val="000000" w:themeColor="text1"/>
              </w:rPr>
            </w:pPr>
            <w:r w:rsidRPr="002C1804">
              <w:rPr>
                <w:color w:val="000000" w:themeColor="text1"/>
              </w:rPr>
              <w:t>Maksuprosentti</w:t>
            </w:r>
          </w:p>
        </w:tc>
        <w:tc>
          <w:tcPr>
            <w:tcW w:w="2545" w:type="dxa"/>
            <w:tcBorders>
              <w:bottom w:val="single" w:sz="12" w:space="0" w:color="auto"/>
            </w:tcBorders>
          </w:tcPr>
          <w:p w14:paraId="6D3823DD" w14:textId="77777777" w:rsidR="008B0E68" w:rsidRPr="002C1804" w:rsidRDefault="002D2ED7">
            <w:pPr>
              <w:rPr>
                <w:color w:val="000000" w:themeColor="text1"/>
              </w:rPr>
            </w:pPr>
            <w:r w:rsidRPr="002C1804">
              <w:rPr>
                <w:color w:val="000000" w:themeColor="text1"/>
              </w:rPr>
              <w:t>Enimmäismaksun</w:t>
            </w:r>
          </w:p>
          <w:p w14:paraId="1DC4D617" w14:textId="77777777" w:rsidR="002D2ED7" w:rsidRPr="002C1804" w:rsidRDefault="002D2ED7">
            <w:pPr>
              <w:rPr>
                <w:color w:val="000000" w:themeColor="text1"/>
              </w:rPr>
            </w:pPr>
            <w:r w:rsidRPr="002C1804">
              <w:rPr>
                <w:color w:val="000000" w:themeColor="text1"/>
              </w:rPr>
              <w:t>bruttotuloraja</w:t>
            </w:r>
          </w:p>
        </w:tc>
      </w:tr>
      <w:tr w:rsidR="002C1804" w:rsidRPr="002C1804" w14:paraId="287EB5AC" w14:textId="77777777" w:rsidTr="002D2ED7">
        <w:tc>
          <w:tcPr>
            <w:tcW w:w="1271" w:type="dxa"/>
            <w:tcBorders>
              <w:top w:val="single" w:sz="12" w:space="0" w:color="auto"/>
            </w:tcBorders>
          </w:tcPr>
          <w:p w14:paraId="3276A404" w14:textId="77777777" w:rsidR="008B0E68" w:rsidRPr="002C1804" w:rsidRDefault="002D2ED7">
            <w:pPr>
              <w:rPr>
                <w:b/>
                <w:bCs/>
                <w:color w:val="000000" w:themeColor="text1"/>
              </w:rPr>
            </w:pPr>
            <w:r w:rsidRPr="002C1804">
              <w:rPr>
                <w:b/>
                <w:bCs/>
                <w:color w:val="000000" w:themeColor="text1"/>
              </w:rPr>
              <w:t>2</w:t>
            </w:r>
          </w:p>
        </w:tc>
        <w:tc>
          <w:tcPr>
            <w:tcW w:w="3543" w:type="dxa"/>
            <w:tcBorders>
              <w:top w:val="single" w:sz="12" w:space="0" w:color="auto"/>
            </w:tcBorders>
          </w:tcPr>
          <w:p w14:paraId="0C7EFA8F" w14:textId="4A8E6A89" w:rsidR="008B0E68" w:rsidRPr="002C1804" w:rsidRDefault="002C1804">
            <w:pPr>
              <w:rPr>
                <w:b/>
                <w:bCs/>
                <w:color w:val="000000" w:themeColor="text1"/>
              </w:rPr>
            </w:pPr>
            <w:r w:rsidRPr="002C1804">
              <w:rPr>
                <w:b/>
                <w:bCs/>
                <w:color w:val="000000" w:themeColor="text1"/>
              </w:rPr>
              <w:t xml:space="preserve">2 </w:t>
            </w:r>
            <w:r w:rsidR="00EA42B7">
              <w:rPr>
                <w:b/>
                <w:bCs/>
                <w:color w:val="000000" w:themeColor="text1"/>
              </w:rPr>
              <w:t>913</w:t>
            </w:r>
          </w:p>
        </w:tc>
        <w:tc>
          <w:tcPr>
            <w:tcW w:w="2269" w:type="dxa"/>
            <w:tcBorders>
              <w:top w:val="single" w:sz="12" w:space="0" w:color="auto"/>
            </w:tcBorders>
          </w:tcPr>
          <w:p w14:paraId="7E5EEFE6" w14:textId="77777777" w:rsidR="008B0E68" w:rsidRPr="002C1804" w:rsidRDefault="009D0E85">
            <w:pPr>
              <w:rPr>
                <w:b/>
                <w:bCs/>
                <w:color w:val="000000" w:themeColor="text1"/>
              </w:rPr>
            </w:pPr>
            <w:r w:rsidRPr="002C1804">
              <w:rPr>
                <w:b/>
                <w:bCs/>
                <w:color w:val="000000" w:themeColor="text1"/>
              </w:rPr>
              <w:t>10,7</w:t>
            </w:r>
          </w:p>
        </w:tc>
        <w:tc>
          <w:tcPr>
            <w:tcW w:w="2545" w:type="dxa"/>
            <w:tcBorders>
              <w:top w:val="single" w:sz="12" w:space="0" w:color="auto"/>
            </w:tcBorders>
          </w:tcPr>
          <w:p w14:paraId="1B26545A" w14:textId="05401873" w:rsidR="008B0E68" w:rsidRPr="003E0A3A" w:rsidRDefault="006436C5">
            <w:pPr>
              <w:rPr>
                <w:b/>
                <w:bCs/>
                <w:color w:val="000000" w:themeColor="text1"/>
              </w:rPr>
            </w:pPr>
            <w:r w:rsidRPr="003E0A3A">
              <w:rPr>
                <w:b/>
                <w:bCs/>
                <w:color w:val="000000" w:themeColor="text1"/>
              </w:rPr>
              <w:t>5 670</w:t>
            </w:r>
          </w:p>
        </w:tc>
      </w:tr>
      <w:tr w:rsidR="002C1804" w:rsidRPr="002C1804" w14:paraId="30DE4BF2" w14:textId="77777777" w:rsidTr="002D2ED7">
        <w:tc>
          <w:tcPr>
            <w:tcW w:w="1271" w:type="dxa"/>
            <w:shd w:val="clear" w:color="auto" w:fill="D0CECE" w:themeFill="background2" w:themeFillShade="E6"/>
          </w:tcPr>
          <w:p w14:paraId="200C4B12" w14:textId="77777777" w:rsidR="008B0E68" w:rsidRPr="002C1804" w:rsidRDefault="002D2ED7">
            <w:pPr>
              <w:rPr>
                <w:b/>
                <w:bCs/>
                <w:color w:val="000000" w:themeColor="text1"/>
              </w:rPr>
            </w:pPr>
            <w:r w:rsidRPr="002C1804">
              <w:rPr>
                <w:b/>
                <w:bCs/>
                <w:color w:val="000000" w:themeColor="text1"/>
              </w:rPr>
              <w:t>3</w:t>
            </w:r>
          </w:p>
        </w:tc>
        <w:tc>
          <w:tcPr>
            <w:tcW w:w="3543" w:type="dxa"/>
            <w:shd w:val="clear" w:color="auto" w:fill="D0CECE" w:themeFill="background2" w:themeFillShade="E6"/>
          </w:tcPr>
          <w:p w14:paraId="12A8C53D" w14:textId="0EE258E9" w:rsidR="008B0E68" w:rsidRPr="002C1804" w:rsidRDefault="002C1804">
            <w:pPr>
              <w:rPr>
                <w:b/>
                <w:bCs/>
                <w:color w:val="000000" w:themeColor="text1"/>
              </w:rPr>
            </w:pPr>
            <w:r>
              <w:rPr>
                <w:b/>
                <w:bCs/>
                <w:color w:val="000000" w:themeColor="text1"/>
              </w:rPr>
              <w:t xml:space="preserve">3 </w:t>
            </w:r>
            <w:r w:rsidR="00EA42B7">
              <w:rPr>
                <w:b/>
                <w:bCs/>
                <w:color w:val="000000" w:themeColor="text1"/>
              </w:rPr>
              <w:t>758</w:t>
            </w:r>
          </w:p>
        </w:tc>
        <w:tc>
          <w:tcPr>
            <w:tcW w:w="2269" w:type="dxa"/>
            <w:shd w:val="clear" w:color="auto" w:fill="D0CECE" w:themeFill="background2" w:themeFillShade="E6"/>
          </w:tcPr>
          <w:p w14:paraId="6FA36483" w14:textId="77777777" w:rsidR="008B0E68" w:rsidRPr="002C1804" w:rsidRDefault="009D0E85">
            <w:pPr>
              <w:rPr>
                <w:b/>
                <w:bCs/>
                <w:color w:val="000000" w:themeColor="text1"/>
              </w:rPr>
            </w:pPr>
            <w:r w:rsidRPr="002C1804">
              <w:rPr>
                <w:b/>
                <w:bCs/>
                <w:color w:val="000000" w:themeColor="text1"/>
              </w:rPr>
              <w:t>10,7</w:t>
            </w:r>
          </w:p>
        </w:tc>
        <w:tc>
          <w:tcPr>
            <w:tcW w:w="2545" w:type="dxa"/>
            <w:shd w:val="clear" w:color="auto" w:fill="D0CECE" w:themeFill="background2" w:themeFillShade="E6"/>
          </w:tcPr>
          <w:p w14:paraId="6A53EDFF" w14:textId="2902F736" w:rsidR="008B0E68" w:rsidRPr="003E0A3A" w:rsidRDefault="006436C5">
            <w:pPr>
              <w:rPr>
                <w:b/>
                <w:bCs/>
                <w:color w:val="000000" w:themeColor="text1"/>
              </w:rPr>
            </w:pPr>
            <w:r w:rsidRPr="003E0A3A">
              <w:rPr>
                <w:b/>
                <w:bCs/>
                <w:color w:val="000000" w:themeColor="text1"/>
              </w:rPr>
              <w:t>6 515</w:t>
            </w:r>
          </w:p>
        </w:tc>
      </w:tr>
      <w:tr w:rsidR="002C1804" w:rsidRPr="002C1804" w14:paraId="042A2BEB" w14:textId="77777777" w:rsidTr="002D2ED7">
        <w:tc>
          <w:tcPr>
            <w:tcW w:w="1271" w:type="dxa"/>
          </w:tcPr>
          <w:p w14:paraId="5B144380" w14:textId="77777777" w:rsidR="008B0E68" w:rsidRPr="002C1804" w:rsidRDefault="002D2ED7">
            <w:pPr>
              <w:rPr>
                <w:b/>
                <w:bCs/>
                <w:color w:val="000000" w:themeColor="text1"/>
              </w:rPr>
            </w:pPr>
            <w:r w:rsidRPr="002C1804">
              <w:rPr>
                <w:b/>
                <w:bCs/>
                <w:color w:val="000000" w:themeColor="text1"/>
              </w:rPr>
              <w:t>4</w:t>
            </w:r>
          </w:p>
        </w:tc>
        <w:tc>
          <w:tcPr>
            <w:tcW w:w="3543" w:type="dxa"/>
          </w:tcPr>
          <w:p w14:paraId="336E755E" w14:textId="645E942A" w:rsidR="008B0E68" w:rsidRPr="002C1804" w:rsidRDefault="002C1804">
            <w:pPr>
              <w:rPr>
                <w:b/>
                <w:bCs/>
                <w:color w:val="000000" w:themeColor="text1"/>
              </w:rPr>
            </w:pPr>
            <w:r>
              <w:rPr>
                <w:b/>
                <w:bCs/>
                <w:color w:val="000000" w:themeColor="text1"/>
              </w:rPr>
              <w:t xml:space="preserve">4 </w:t>
            </w:r>
            <w:r w:rsidR="00EA42B7">
              <w:rPr>
                <w:b/>
                <w:bCs/>
                <w:color w:val="000000" w:themeColor="text1"/>
              </w:rPr>
              <w:t>267</w:t>
            </w:r>
          </w:p>
        </w:tc>
        <w:tc>
          <w:tcPr>
            <w:tcW w:w="2269" w:type="dxa"/>
          </w:tcPr>
          <w:p w14:paraId="2F997842" w14:textId="77777777" w:rsidR="008B0E68" w:rsidRPr="002C1804" w:rsidRDefault="009D0E85">
            <w:pPr>
              <w:rPr>
                <w:b/>
                <w:bCs/>
                <w:color w:val="000000" w:themeColor="text1"/>
              </w:rPr>
            </w:pPr>
            <w:r w:rsidRPr="002C1804">
              <w:rPr>
                <w:b/>
                <w:bCs/>
                <w:color w:val="000000" w:themeColor="text1"/>
              </w:rPr>
              <w:t>10,7</w:t>
            </w:r>
          </w:p>
        </w:tc>
        <w:tc>
          <w:tcPr>
            <w:tcW w:w="2545" w:type="dxa"/>
          </w:tcPr>
          <w:p w14:paraId="2DA73F0A" w14:textId="17DDDED6" w:rsidR="008B0E68" w:rsidRPr="003E0A3A" w:rsidRDefault="006436C5">
            <w:pPr>
              <w:rPr>
                <w:b/>
                <w:bCs/>
                <w:color w:val="000000" w:themeColor="text1"/>
              </w:rPr>
            </w:pPr>
            <w:r w:rsidRPr="003E0A3A">
              <w:rPr>
                <w:b/>
                <w:bCs/>
                <w:color w:val="000000" w:themeColor="text1"/>
              </w:rPr>
              <w:t>7 02</w:t>
            </w:r>
            <w:r w:rsidR="003E0A3A" w:rsidRPr="003E0A3A">
              <w:rPr>
                <w:b/>
                <w:bCs/>
                <w:color w:val="000000" w:themeColor="text1"/>
              </w:rPr>
              <w:t>4</w:t>
            </w:r>
          </w:p>
        </w:tc>
      </w:tr>
      <w:tr w:rsidR="002C1804" w:rsidRPr="002C1804" w14:paraId="0FD50AB4" w14:textId="77777777" w:rsidTr="002D2ED7">
        <w:tc>
          <w:tcPr>
            <w:tcW w:w="1271" w:type="dxa"/>
            <w:shd w:val="clear" w:color="auto" w:fill="D0CECE" w:themeFill="background2" w:themeFillShade="E6"/>
          </w:tcPr>
          <w:p w14:paraId="60E37C35" w14:textId="77777777" w:rsidR="008B0E68" w:rsidRPr="002C1804" w:rsidRDefault="002D2ED7">
            <w:pPr>
              <w:rPr>
                <w:b/>
                <w:bCs/>
                <w:color w:val="000000" w:themeColor="text1"/>
              </w:rPr>
            </w:pPr>
            <w:r w:rsidRPr="002C1804">
              <w:rPr>
                <w:b/>
                <w:bCs/>
                <w:color w:val="000000" w:themeColor="text1"/>
              </w:rPr>
              <w:t>5</w:t>
            </w:r>
          </w:p>
        </w:tc>
        <w:tc>
          <w:tcPr>
            <w:tcW w:w="3543" w:type="dxa"/>
            <w:shd w:val="clear" w:color="auto" w:fill="D0CECE" w:themeFill="background2" w:themeFillShade="E6"/>
          </w:tcPr>
          <w:p w14:paraId="1220F30B" w14:textId="30A9795B" w:rsidR="008B0E68" w:rsidRPr="002C1804" w:rsidRDefault="002C1804">
            <w:pPr>
              <w:rPr>
                <w:b/>
                <w:bCs/>
                <w:color w:val="000000" w:themeColor="text1"/>
              </w:rPr>
            </w:pPr>
            <w:r>
              <w:rPr>
                <w:b/>
                <w:bCs/>
                <w:color w:val="000000" w:themeColor="text1"/>
              </w:rPr>
              <w:t xml:space="preserve">4 </w:t>
            </w:r>
            <w:r w:rsidR="00EA42B7">
              <w:rPr>
                <w:b/>
                <w:bCs/>
                <w:color w:val="000000" w:themeColor="text1"/>
              </w:rPr>
              <w:t>777</w:t>
            </w:r>
          </w:p>
        </w:tc>
        <w:tc>
          <w:tcPr>
            <w:tcW w:w="2269" w:type="dxa"/>
            <w:shd w:val="clear" w:color="auto" w:fill="D0CECE" w:themeFill="background2" w:themeFillShade="E6"/>
          </w:tcPr>
          <w:p w14:paraId="1518B528" w14:textId="77777777" w:rsidR="008B0E68" w:rsidRPr="002C1804" w:rsidRDefault="009D0E85">
            <w:pPr>
              <w:rPr>
                <w:b/>
                <w:bCs/>
                <w:color w:val="000000" w:themeColor="text1"/>
              </w:rPr>
            </w:pPr>
            <w:r w:rsidRPr="002C1804">
              <w:rPr>
                <w:b/>
                <w:bCs/>
                <w:color w:val="000000" w:themeColor="text1"/>
              </w:rPr>
              <w:t>10,7</w:t>
            </w:r>
          </w:p>
        </w:tc>
        <w:tc>
          <w:tcPr>
            <w:tcW w:w="2545" w:type="dxa"/>
            <w:shd w:val="clear" w:color="auto" w:fill="D0CECE" w:themeFill="background2" w:themeFillShade="E6"/>
          </w:tcPr>
          <w:p w14:paraId="6FEA6FEF" w14:textId="4BD96FC6" w:rsidR="008B0E68" w:rsidRPr="003E0A3A" w:rsidRDefault="003E0A3A">
            <w:pPr>
              <w:rPr>
                <w:b/>
                <w:bCs/>
                <w:color w:val="000000" w:themeColor="text1"/>
              </w:rPr>
            </w:pPr>
            <w:r w:rsidRPr="003E0A3A">
              <w:rPr>
                <w:b/>
                <w:bCs/>
                <w:color w:val="000000" w:themeColor="text1"/>
              </w:rPr>
              <w:t>7 534</w:t>
            </w:r>
          </w:p>
        </w:tc>
      </w:tr>
      <w:tr w:rsidR="002C1804" w:rsidRPr="002C1804" w14:paraId="3F81F47A" w14:textId="77777777" w:rsidTr="002D2ED7">
        <w:tc>
          <w:tcPr>
            <w:tcW w:w="1271" w:type="dxa"/>
          </w:tcPr>
          <w:p w14:paraId="7B085E00" w14:textId="77777777" w:rsidR="008B0E68" w:rsidRPr="002C1804" w:rsidRDefault="002D2ED7">
            <w:pPr>
              <w:rPr>
                <w:b/>
                <w:bCs/>
                <w:color w:val="000000" w:themeColor="text1"/>
              </w:rPr>
            </w:pPr>
            <w:r w:rsidRPr="002C1804">
              <w:rPr>
                <w:b/>
                <w:bCs/>
                <w:color w:val="000000" w:themeColor="text1"/>
              </w:rPr>
              <w:t>6</w:t>
            </w:r>
          </w:p>
        </w:tc>
        <w:tc>
          <w:tcPr>
            <w:tcW w:w="3543" w:type="dxa"/>
          </w:tcPr>
          <w:p w14:paraId="0B0B1233" w14:textId="56114D9B" w:rsidR="008B0E68" w:rsidRPr="002C1804" w:rsidRDefault="002C1804">
            <w:pPr>
              <w:rPr>
                <w:b/>
                <w:bCs/>
                <w:color w:val="000000" w:themeColor="text1"/>
              </w:rPr>
            </w:pPr>
            <w:r>
              <w:rPr>
                <w:b/>
                <w:bCs/>
                <w:color w:val="000000" w:themeColor="text1"/>
              </w:rPr>
              <w:t xml:space="preserve">5 </w:t>
            </w:r>
            <w:r w:rsidR="00EA42B7">
              <w:rPr>
                <w:b/>
                <w:bCs/>
                <w:color w:val="000000" w:themeColor="text1"/>
              </w:rPr>
              <w:t>284</w:t>
            </w:r>
          </w:p>
        </w:tc>
        <w:tc>
          <w:tcPr>
            <w:tcW w:w="2269" w:type="dxa"/>
          </w:tcPr>
          <w:p w14:paraId="42C5ED18" w14:textId="77777777" w:rsidR="008B0E68" w:rsidRPr="002C1804" w:rsidRDefault="009D0E85">
            <w:pPr>
              <w:rPr>
                <w:b/>
                <w:bCs/>
                <w:color w:val="000000" w:themeColor="text1"/>
              </w:rPr>
            </w:pPr>
            <w:r w:rsidRPr="002C1804">
              <w:rPr>
                <w:b/>
                <w:bCs/>
                <w:color w:val="000000" w:themeColor="text1"/>
              </w:rPr>
              <w:t>10,7</w:t>
            </w:r>
          </w:p>
        </w:tc>
        <w:tc>
          <w:tcPr>
            <w:tcW w:w="2545" w:type="dxa"/>
          </w:tcPr>
          <w:p w14:paraId="3E257EE5" w14:textId="71E8A8D2" w:rsidR="008B0E68" w:rsidRPr="003E0A3A" w:rsidRDefault="003E0A3A">
            <w:pPr>
              <w:rPr>
                <w:b/>
                <w:bCs/>
                <w:color w:val="000000" w:themeColor="text1"/>
              </w:rPr>
            </w:pPr>
            <w:r w:rsidRPr="003E0A3A">
              <w:rPr>
                <w:b/>
                <w:bCs/>
                <w:color w:val="000000" w:themeColor="text1"/>
              </w:rPr>
              <w:t>8 041</w:t>
            </w:r>
          </w:p>
        </w:tc>
      </w:tr>
    </w:tbl>
    <w:p w14:paraId="778CCBA0" w14:textId="77777777" w:rsidR="008B0E68" w:rsidRDefault="008B0E68"/>
    <w:p w14:paraId="6F6CBB1F" w14:textId="126EC8D9" w:rsidR="008B0E68" w:rsidRDefault="002D2ED7">
      <w:r>
        <w:t xml:space="preserve">Jos perheen koko on suurempi kuin kuusi henkilöä, asiakasmaksun määräämisen perusteena olevaa tulorajaa korotetaan </w:t>
      </w:r>
      <w:r w:rsidR="002C1804">
        <w:t>189</w:t>
      </w:r>
      <w:r>
        <w:t xml:space="preserve"> eurolla kustakin seuraavasta perheen alaikäisestä lapsesta.</w:t>
      </w:r>
    </w:p>
    <w:p w14:paraId="39539A29" w14:textId="77777777" w:rsidR="00AE01AD" w:rsidRDefault="00AE01AD">
      <w:r w:rsidRPr="00AE01AD">
        <w:t>Jos lapsen huoltajat asuvat eri osoitteissa, mutta lapselle järjestetään varhaiskasvatusta vain yhdessä kunnassa, määrätään maksu sen perheen tulojen perusteella, jonka luona lapsella on väestötietojärjestelmästä ja Väestörekisterikeskuksen varmennepalveluista annetun lain (661/2009) mukainen asuinpaikka. Jos lapselle järjestetään varhaiskasvatusta kahden kunnan alueella, on maksu määrättävä erikseen molemmissa kunnissa.</w:t>
      </w:r>
    </w:p>
    <w:p w14:paraId="574DE126" w14:textId="77777777" w:rsidR="000D71E1" w:rsidRDefault="000D71E1"/>
    <w:p w14:paraId="61C348DE" w14:textId="77777777" w:rsidR="000D71E1" w:rsidRDefault="00E23596">
      <w:pPr>
        <w:rPr>
          <w:b/>
          <w:bCs/>
        </w:rPr>
      </w:pPr>
      <w:r>
        <w:rPr>
          <w:b/>
          <w:bCs/>
        </w:rPr>
        <w:t>TILAPÄISEN HOIDON MAKSU</w:t>
      </w:r>
    </w:p>
    <w:p w14:paraId="1BCF533A" w14:textId="77777777" w:rsidR="00E23596" w:rsidRDefault="00E23596">
      <w:r w:rsidRPr="00E23596">
        <w:t>Tilapäisestä päivähoidosta on kyse, kun lapsi on kunnallisessa päivähoidossa ja lapsi tarvitsee satunnaisesti päivähoitoa enintään 5 päivää / kuukausi.</w:t>
      </w:r>
    </w:p>
    <w:p w14:paraId="7BB8A518" w14:textId="77777777" w:rsidR="00E23596" w:rsidRDefault="00E23596">
      <w:r w:rsidRPr="00E23596">
        <w:t>Tilapäisen kokoaikaisen hoidon (yli 7h) maksuna peritään 16 euroa/päivä ja tilapäisen osa</w:t>
      </w:r>
      <w:r w:rsidR="003B702C">
        <w:t>-</w:t>
      </w:r>
      <w:r w:rsidRPr="00E23596">
        <w:t>aikaisen hoidon (alle 7h) maksuna peritään 10 euroa/päivä. Sama maksu peritään kaikilta tilapäisessä hoidossa olevilta sisaruksilta.</w:t>
      </w:r>
    </w:p>
    <w:p w14:paraId="75A27F6E" w14:textId="77777777" w:rsidR="00E23596" w:rsidRDefault="00E23596"/>
    <w:p w14:paraId="75FF8695" w14:textId="77777777" w:rsidR="00E23596" w:rsidRDefault="00E23596">
      <w:pPr>
        <w:rPr>
          <w:b/>
          <w:bCs/>
        </w:rPr>
      </w:pPr>
      <w:r>
        <w:rPr>
          <w:b/>
          <w:bCs/>
        </w:rPr>
        <w:t>KUUKAUSIMAKSUN PERIMINEN</w:t>
      </w:r>
    </w:p>
    <w:p w14:paraId="66DB0A6C" w14:textId="77777777" w:rsidR="00E23596" w:rsidRDefault="00E23596">
      <w:r w:rsidRPr="00E23596">
        <w:t>Varhaiskasvatuksen asiakasmaksu voidaan periä kuukausimaksuna enintään yhdeltätoista kalenterikuukaudelta toimintavuoden aikana. Toimintavuosi alkaa elokuussa ja päättyy heinäkuun lopussa. Maksuton kuukausi on heinäkuu edellytyksellä, että lapsen hoito on alkanut ennen edellisen vuoden syyskuun ensimmäistä päivää.</w:t>
      </w:r>
    </w:p>
    <w:p w14:paraId="7C2BBAA8" w14:textId="77777777" w:rsidR="00E23596" w:rsidRDefault="00E23596">
      <w:r w:rsidRPr="00E23596">
        <w:t>Jos lapsi on varhaiskasvatuksessa toimintavuoden kaikkina kuukausina ja hän on poissa varhaiskasvatuksesta toimintavuoden aikana muusta syystä kuin sairauden vuoksi enintään kolme neljäsosaa kuukausimaksun perusteena olevien kuukausittaisten varhaiskasvatuspäivien määrästä, peritään maksu kuitenkin 12 kuukaudelta. Poissaolopäiviä laskettaessa otetaan huomioon etukäteen ilmoitetut poissaolot.</w:t>
      </w:r>
    </w:p>
    <w:p w14:paraId="2CCDEF33" w14:textId="77777777" w:rsidR="00E23596" w:rsidRDefault="00E23596">
      <w:r w:rsidRPr="00E23596">
        <w:t>Jos lapsen varhaiskasvatus alkaa tai loppuu kesken kalenterikuukauden, maksu määrätään toteutuneen varhaiskasvatusajan mukaan kuukausimaksua pienempänä.</w:t>
      </w:r>
    </w:p>
    <w:p w14:paraId="735E54E3" w14:textId="77777777" w:rsidR="00E23596" w:rsidRDefault="00E23596"/>
    <w:p w14:paraId="04EB6EBF" w14:textId="77777777" w:rsidR="00E23596" w:rsidRDefault="00E23596">
      <w:pPr>
        <w:rPr>
          <w:b/>
          <w:bCs/>
        </w:rPr>
      </w:pPr>
      <w:r>
        <w:rPr>
          <w:b/>
          <w:bCs/>
        </w:rPr>
        <w:t>MAKSUN PERIMINEN POISSAOLON OSALTA</w:t>
      </w:r>
    </w:p>
    <w:p w14:paraId="5704469D" w14:textId="77777777" w:rsidR="00E23596" w:rsidRDefault="00E23596">
      <w:r w:rsidRPr="00E23596">
        <w:t xml:space="preserve">Kuukausittainen maksu peritään myös lapsen tilapäisen poissaolon ajalta. Jos lapsi on sairautensa vuoksi poissa varhaiskasvatuksesta yli kymmenen päivää kalenterikuukauden aikana, kyseiseltä kuukaudelta </w:t>
      </w:r>
      <w:r w:rsidRPr="00E23596">
        <w:lastRenderedPageBreak/>
        <w:t>peritään puolet kuukausimaksusta. Sairaudesta johtuvan poissaolon kestäessä koko kalenterikuukauden maksua ei peritä lainkaan.</w:t>
      </w:r>
    </w:p>
    <w:p w14:paraId="5A15DBD6" w14:textId="77777777" w:rsidR="00E23596" w:rsidRDefault="00E23596">
      <w:r w:rsidRPr="00E23596">
        <w:t>Maksua ei peritä niiltä päiviltä, joina lapsi on poissa varhaiskasvatuksesta isyysrahajaksojen ajan. Mikäli lapsen sisarukset ovat myös poissa varhaiskasvatuksesta isyysrahajaksojen ajan, heiltä ei myöskään peritä maksua.</w:t>
      </w:r>
    </w:p>
    <w:p w14:paraId="139F82AD" w14:textId="77777777" w:rsidR="00E23596" w:rsidRDefault="00E23596">
      <w:r w:rsidRPr="00E23596">
        <w:t>Jos lapsi on muusta syystä poissa varhaiskasvatuksesta koko kalenterikuukauden, maksuna peritään puolet kuukausimaksusta.</w:t>
      </w:r>
    </w:p>
    <w:p w14:paraId="6964E9D5" w14:textId="77777777" w:rsidR="00E23596" w:rsidRDefault="00E23596"/>
    <w:p w14:paraId="5F6B790D" w14:textId="77777777" w:rsidR="00E23596" w:rsidRDefault="00E23596">
      <w:pPr>
        <w:rPr>
          <w:b/>
          <w:bCs/>
        </w:rPr>
      </w:pPr>
      <w:r>
        <w:rPr>
          <w:b/>
          <w:bCs/>
        </w:rPr>
        <w:t>PERUUTTAMATTA JÄTETYSTÄ VARHAISKASVATUKSESTA PERITTÄVÄ MAKSU</w:t>
      </w:r>
    </w:p>
    <w:p w14:paraId="390FDE69" w14:textId="77777777" w:rsidR="00E23596" w:rsidRDefault="00E23596">
      <w:r w:rsidRPr="00E23596">
        <w:t>Jos lapsen huoltajat eivät ota vastaan lapselle haettua ja myönnettyä paikkaa varhaiskasvatuksessa eikä paikkaa ole peruutettu ennen kunnan päätöksen mukaisen varhaiskasvatuksen alkamista, lapsen huoltajilta voidaan periä puolet lain mukaan määräytyvästä kuukausimaksusta.</w:t>
      </w:r>
    </w:p>
    <w:p w14:paraId="30D43132" w14:textId="77777777" w:rsidR="00E23596" w:rsidRDefault="00E23596">
      <w:r w:rsidRPr="00E23596">
        <w:t>Jos lapsen huoltajat varaavat lapselle varhaiskasvatuspaikan lomansa ajaksi eivätkä peruuta sitä, voidaan peruuttamatta jätetystä varhaiskasvatuspaikasta periä puolet tämän lain mukaan määräytyvästä kuukausimaksusta. Vaikka perheen tulot olisivat niin pienet, ettei lapselle ole määrätty kuukausimaksua, voidaan käyttämättä jätetystä varhaiskasvatuksesta kuitenkin periä puolet pienimmästä perittävästä maksusta.</w:t>
      </w:r>
    </w:p>
    <w:p w14:paraId="7EF62A52" w14:textId="77777777" w:rsidR="00E23596" w:rsidRDefault="00E23596">
      <w:pPr>
        <w:rPr>
          <w:b/>
          <w:bCs/>
        </w:rPr>
      </w:pPr>
      <w:r>
        <w:rPr>
          <w:b/>
          <w:bCs/>
        </w:rPr>
        <w:t>MAKSUHYVITYKSET</w:t>
      </w:r>
    </w:p>
    <w:p w14:paraId="44C2864D" w14:textId="77777777" w:rsidR="00E23596" w:rsidRDefault="00E23596">
      <w:r w:rsidRPr="00E23596">
        <w:t>Kesä-, heinä- ja elokuussa päivähoitomaksu hyvitetään ennalta ilmoitettujen (5.5. mennessä) lapsen lomapäivien ajalta. Mikäli lomia ilmoitetaan määräajan jälkeen, hyvityksiä ei myönnetä.</w:t>
      </w:r>
    </w:p>
    <w:sectPr w:rsidR="00E235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736D8"/>
    <w:multiLevelType w:val="hybridMultilevel"/>
    <w:tmpl w:val="8DDE2A24"/>
    <w:lvl w:ilvl="0" w:tplc="04D002BE">
      <w:start w:val="6"/>
      <w:numFmt w:val="bullet"/>
      <w:lvlText w:val="-"/>
      <w:lvlJc w:val="left"/>
      <w:pPr>
        <w:ind w:left="405" w:hanging="360"/>
      </w:pPr>
      <w:rPr>
        <w:rFonts w:ascii="Calibri" w:eastAsiaTheme="minorHAnsi" w:hAnsi="Calibri" w:cs="Calibr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9C"/>
    <w:rsid w:val="000D71E1"/>
    <w:rsid w:val="001B72A8"/>
    <w:rsid w:val="002C1804"/>
    <w:rsid w:val="002D2ED7"/>
    <w:rsid w:val="0031759C"/>
    <w:rsid w:val="00382BF1"/>
    <w:rsid w:val="00384D22"/>
    <w:rsid w:val="003B702C"/>
    <w:rsid w:val="003E0A3A"/>
    <w:rsid w:val="0042505D"/>
    <w:rsid w:val="004927A0"/>
    <w:rsid w:val="006436C5"/>
    <w:rsid w:val="007735F4"/>
    <w:rsid w:val="00782A89"/>
    <w:rsid w:val="008203B1"/>
    <w:rsid w:val="008B0E68"/>
    <w:rsid w:val="008F7B34"/>
    <w:rsid w:val="009D0E85"/>
    <w:rsid w:val="00A667E2"/>
    <w:rsid w:val="00AE01AD"/>
    <w:rsid w:val="00B87F04"/>
    <w:rsid w:val="00D876D3"/>
    <w:rsid w:val="00DF29C5"/>
    <w:rsid w:val="00E23596"/>
    <w:rsid w:val="00EA42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9496"/>
  <w15:chartTrackingRefBased/>
  <w15:docId w15:val="{5A147675-6A15-4170-B46F-E53A7A60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1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8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5258</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Timonen-Nissi</dc:creator>
  <cp:keywords/>
  <dc:description/>
  <cp:lastModifiedBy>Antero Tervonen</cp:lastModifiedBy>
  <cp:revision>2</cp:revision>
  <cp:lastPrinted>2021-08-30T10:07:00Z</cp:lastPrinted>
  <dcterms:created xsi:type="dcterms:W3CDTF">2022-08-09T05:48:00Z</dcterms:created>
  <dcterms:modified xsi:type="dcterms:W3CDTF">2022-08-09T05:48:00Z</dcterms:modified>
</cp:coreProperties>
</file>